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4D5" w:rsidRDefault="004D24D5" w14:paraId="00000001" w14:textId="77777777">
      <w:pPr>
        <w:rPr>
          <w:b/>
          <w:sz w:val="20"/>
          <w:szCs w:val="20"/>
        </w:rPr>
      </w:pPr>
    </w:p>
    <w:p w:rsidR="004D24D5" w:rsidP="6E59D01B" w:rsidRDefault="001643C4" w14:paraId="00000002" w14:textId="77777777">
      <w:pPr>
        <w:jc w:val="center"/>
        <w:rPr>
          <w:b w:val="1"/>
          <w:bCs w:val="1"/>
          <w:sz w:val="20"/>
          <w:szCs w:val="20"/>
          <w:lang w:val="es-ES"/>
        </w:rPr>
      </w:pPr>
      <w:r w:rsidRPr="6E59D01B" w:rsidR="001643C4">
        <w:rPr>
          <w:b w:val="1"/>
          <w:bCs w:val="1"/>
          <w:sz w:val="20"/>
          <w:szCs w:val="20"/>
          <w:lang w:val="es-ES"/>
        </w:rPr>
        <w:t>monday</w:t>
      </w:r>
      <w:r w:rsidRPr="6E59D01B" w:rsidR="001643C4">
        <w:rPr>
          <w:b w:val="1"/>
          <w:bCs w:val="1"/>
          <w:sz w:val="20"/>
          <w:szCs w:val="20"/>
          <w:lang w:val="es-ES"/>
        </w:rPr>
        <w:t xml:space="preserve"> </w:t>
      </w:r>
      <w:r w:rsidRPr="6E59D01B" w:rsidR="001643C4">
        <w:rPr>
          <w:b w:val="1"/>
          <w:bCs w:val="1"/>
          <w:sz w:val="20"/>
          <w:szCs w:val="20"/>
          <w:lang w:val="es-ES"/>
        </w:rPr>
        <w:t>work</w:t>
      </w:r>
      <w:r w:rsidRPr="6E59D01B" w:rsidR="001643C4">
        <w:rPr>
          <w:b w:val="1"/>
          <w:bCs w:val="1"/>
          <w:sz w:val="20"/>
          <w:szCs w:val="20"/>
          <w:lang w:val="es-ES"/>
        </w:rPr>
        <w:t xml:space="preserve"> </w:t>
      </w:r>
      <w:r w:rsidRPr="6E59D01B" w:rsidR="001643C4">
        <w:rPr>
          <w:b w:val="1"/>
          <w:bCs w:val="1"/>
          <w:sz w:val="20"/>
          <w:szCs w:val="20"/>
          <w:lang w:val="es-ES"/>
        </w:rPr>
        <w:t>management</w:t>
      </w:r>
      <w:r w:rsidRPr="6E59D01B" w:rsidR="001643C4">
        <w:rPr>
          <w:b w:val="1"/>
          <w:bCs w:val="1"/>
          <w:sz w:val="20"/>
          <w:szCs w:val="20"/>
          <w:lang w:val="es-ES"/>
        </w:rPr>
        <w:t xml:space="preserve"> mejora su oferta corporativa con el lanzamiento completo de una solución de gestión de cartera estandarizada y lista para usar</w:t>
      </w:r>
    </w:p>
    <w:p w:rsidR="004D24D5" w:rsidRDefault="001643C4" w14:paraId="00000003" w14:textId="77777777">
      <w:pPr>
        <w:jc w:val="center"/>
        <w:rPr>
          <w:i/>
          <w:sz w:val="20"/>
          <w:szCs w:val="20"/>
        </w:rPr>
      </w:pPr>
      <w:r>
        <w:rPr>
          <w:i/>
          <w:sz w:val="20"/>
          <w:szCs w:val="20"/>
        </w:rPr>
        <w:t>Las capacidades nuevas permiten a los clientes gestionar iniciativas estratégicas a escala y tomar decisiones informadas con confianza entre equipos y departamentos, para optimizar las operaciones y mejorar la productividad.</w:t>
      </w:r>
    </w:p>
    <w:p w:rsidR="004D24D5" w:rsidRDefault="004D24D5" w14:paraId="00000004" w14:textId="77777777">
      <w:pPr>
        <w:jc w:val="center"/>
        <w:rPr>
          <w:i/>
          <w:sz w:val="20"/>
          <w:szCs w:val="20"/>
        </w:rPr>
      </w:pPr>
    </w:p>
    <w:p w:rsidR="004D24D5" w:rsidP="6E59D01B" w:rsidRDefault="001643C4" w14:paraId="00000005" w14:textId="77777777">
      <w:pPr>
        <w:rPr>
          <w:sz w:val="20"/>
          <w:szCs w:val="20"/>
          <w:lang w:val="es-ES"/>
        </w:rPr>
      </w:pPr>
      <w:r w:rsidRPr="6E59D01B" w:rsidR="001643C4">
        <w:rPr>
          <w:b w:val="1"/>
          <w:bCs w:val="1"/>
          <w:sz w:val="20"/>
          <w:szCs w:val="20"/>
          <w:lang w:val="es-ES"/>
        </w:rPr>
        <w:t>Nueva York y Tel Aviv. 31 de julio de 2024</w:t>
      </w:r>
      <w:r w:rsidRPr="6E59D01B" w:rsidR="001643C4">
        <w:rPr>
          <w:sz w:val="20"/>
          <w:szCs w:val="20"/>
          <w:lang w:val="es-ES"/>
        </w:rPr>
        <w:t xml:space="preserve">. </w:t>
      </w:r>
      <w:hyperlink r:id="R2f4d75ff5a214d1a">
        <w:r w:rsidRPr="6E59D01B" w:rsidR="001643C4">
          <w:rPr>
            <w:color w:val="1155CC"/>
            <w:sz w:val="20"/>
            <w:szCs w:val="20"/>
            <w:u w:val="single"/>
            <w:lang w:val="es-ES"/>
          </w:rPr>
          <w:t>monday.com</w:t>
        </w:r>
      </w:hyperlink>
      <w:r w:rsidRPr="6E59D01B" w:rsidR="001643C4">
        <w:rPr>
          <w:sz w:val="20"/>
          <w:szCs w:val="20"/>
          <w:lang w:val="es-ES"/>
        </w:rPr>
        <w:t xml:space="preserve"> Ltd. (NASDAQ: MNDY) (“monday.com”), la plataforma </w:t>
      </w:r>
      <w:r w:rsidRPr="6E59D01B" w:rsidR="001643C4">
        <w:rPr>
          <w:sz w:val="20"/>
          <w:szCs w:val="20"/>
          <w:lang w:val="es-ES"/>
        </w:rPr>
        <w:t>multiproducto</w:t>
      </w:r>
      <w:r w:rsidRPr="6E59D01B" w:rsidR="001643C4">
        <w:rPr>
          <w:sz w:val="20"/>
          <w:szCs w:val="20"/>
          <w:lang w:val="es-ES"/>
        </w:rPr>
        <w:t xml:space="preserve"> donde se pueden ejecutar todos los aspectos básicos del trabajo, hoy anunció el lanzamiento completo de su solución de gestión de cartera, una oferta corporativa nueva dentro del producto </w:t>
      </w:r>
      <w:r w:rsidRPr="6E59D01B" w:rsidR="001643C4">
        <w:rPr>
          <w:sz w:val="20"/>
          <w:szCs w:val="20"/>
          <w:lang w:val="es-ES"/>
        </w:rPr>
        <w:t>monday</w:t>
      </w:r>
      <w:r w:rsidRPr="6E59D01B" w:rsidR="001643C4">
        <w:rPr>
          <w:sz w:val="20"/>
          <w:szCs w:val="20"/>
          <w:lang w:val="es-ES"/>
        </w:rPr>
        <w:t xml:space="preserve"> </w:t>
      </w:r>
      <w:r w:rsidRPr="6E59D01B" w:rsidR="001643C4">
        <w:rPr>
          <w:sz w:val="20"/>
          <w:szCs w:val="20"/>
          <w:lang w:val="es-ES"/>
        </w:rPr>
        <w:t>work</w:t>
      </w:r>
      <w:r w:rsidRPr="6E59D01B" w:rsidR="001643C4">
        <w:rPr>
          <w:sz w:val="20"/>
          <w:szCs w:val="20"/>
          <w:lang w:val="es-ES"/>
        </w:rPr>
        <w:t xml:space="preserve"> </w:t>
      </w:r>
      <w:r w:rsidRPr="6E59D01B" w:rsidR="001643C4">
        <w:rPr>
          <w:sz w:val="20"/>
          <w:szCs w:val="20"/>
          <w:lang w:val="es-ES"/>
        </w:rPr>
        <w:t>management</w:t>
      </w:r>
      <w:r w:rsidRPr="6E59D01B" w:rsidR="001643C4">
        <w:rPr>
          <w:sz w:val="20"/>
          <w:szCs w:val="20"/>
          <w:lang w:val="es-ES"/>
        </w:rPr>
        <w:t xml:space="preserve">. </w:t>
      </w:r>
    </w:p>
    <w:p w:rsidR="004D24D5" w:rsidRDefault="004D24D5" w14:paraId="00000006" w14:textId="77777777">
      <w:pPr>
        <w:rPr>
          <w:sz w:val="20"/>
          <w:szCs w:val="20"/>
        </w:rPr>
      </w:pPr>
    </w:p>
    <w:p w:rsidR="004D24D5" w:rsidRDefault="001643C4" w14:paraId="00000007" w14:textId="77777777">
      <w:pPr>
        <w:rPr>
          <w:sz w:val="20"/>
          <w:szCs w:val="20"/>
        </w:rPr>
      </w:pPr>
      <w:r>
        <w:rPr>
          <w:sz w:val="20"/>
          <w:szCs w:val="20"/>
        </w:rPr>
        <w:t xml:space="preserve">Esta solución lista para usar y desarrollada para clientes corporativos brinda a los gerentes y ejecutivos de cartera una vista holística de todos los proyectos relevantes. Su interfaz amigable permite obtener claridad visual sin tener que analizar una infinidad de informes complejos. </w:t>
      </w:r>
    </w:p>
    <w:p w:rsidR="004D24D5" w:rsidRDefault="004D24D5" w14:paraId="00000008" w14:textId="77777777">
      <w:pPr>
        <w:rPr>
          <w:sz w:val="20"/>
          <w:szCs w:val="20"/>
        </w:rPr>
      </w:pPr>
    </w:p>
    <w:p w:rsidR="004D24D5" w:rsidP="6E59D01B" w:rsidRDefault="001643C4" w14:paraId="00000009" w14:textId="77777777">
      <w:pPr>
        <w:rPr>
          <w:sz w:val="20"/>
          <w:szCs w:val="20"/>
          <w:lang w:val="es-ES"/>
        </w:rPr>
      </w:pPr>
      <w:r w:rsidRPr="6E59D01B" w:rsidR="001643C4">
        <w:rPr>
          <w:sz w:val="20"/>
          <w:szCs w:val="20"/>
          <w:lang w:val="es-ES"/>
        </w:rPr>
        <w:t xml:space="preserve">Con </w:t>
      </w:r>
      <w:r w:rsidRPr="6E59D01B" w:rsidR="001643C4">
        <w:rPr>
          <w:sz w:val="20"/>
          <w:szCs w:val="20"/>
          <w:lang w:val="es-ES"/>
        </w:rPr>
        <w:t>Portfolio</w:t>
      </w:r>
      <w:r w:rsidRPr="6E59D01B" w:rsidR="001643C4">
        <w:rPr>
          <w:sz w:val="20"/>
          <w:szCs w:val="20"/>
          <w:lang w:val="es-ES"/>
        </w:rPr>
        <w:t xml:space="preserve">, los clientes pueden navegar entre carteras generales y proyectos específicos. Esta capacidad también se integra a la perfección con el flujo de trabajo completo, ya que se conecta con un tablero de solicitud de proyectos de </w:t>
      </w:r>
      <w:r w:rsidRPr="6E59D01B" w:rsidR="001643C4">
        <w:rPr>
          <w:sz w:val="20"/>
          <w:szCs w:val="20"/>
          <w:lang w:val="es-ES"/>
        </w:rPr>
        <w:t>monday</w:t>
      </w:r>
      <w:r w:rsidRPr="6E59D01B" w:rsidR="001643C4">
        <w:rPr>
          <w:sz w:val="20"/>
          <w:szCs w:val="20"/>
          <w:lang w:val="es-ES"/>
        </w:rPr>
        <w:t xml:space="preserve"> para la entrada de trabajos. Una vez que se aprueba un proyecto, y con las funciones de automatización de monday.com, completa una plantilla en función de los requisitos del proyecto. Luego las plantillas se pueden controlar con la capacidad nueva de estandarización</w:t>
      </w:r>
      <w:r w:rsidRPr="6E59D01B" w:rsidR="001643C4">
        <w:rPr>
          <w:sz w:val="20"/>
          <w:szCs w:val="20"/>
          <w:lang w:val="es-ES"/>
        </w:rPr>
        <w:t xml:space="preserve"> de monday.com, que actualmente está en beta.</w:t>
      </w:r>
    </w:p>
    <w:p w:rsidR="004D24D5" w:rsidRDefault="004D24D5" w14:paraId="0000000A" w14:textId="77777777">
      <w:pPr>
        <w:rPr>
          <w:b/>
          <w:sz w:val="20"/>
          <w:szCs w:val="20"/>
        </w:rPr>
      </w:pPr>
    </w:p>
    <w:p w:rsidR="004D24D5" w:rsidP="6E59D01B" w:rsidRDefault="001643C4" w14:paraId="0000000B" w14:textId="77777777">
      <w:pPr>
        <w:rPr>
          <w:sz w:val="20"/>
          <w:szCs w:val="20"/>
          <w:lang w:val="es-ES"/>
        </w:rPr>
      </w:pPr>
      <w:r w:rsidRPr="6E59D01B" w:rsidR="001643C4">
        <w:rPr>
          <w:sz w:val="20"/>
          <w:szCs w:val="20"/>
          <w:lang w:val="es-ES"/>
        </w:rPr>
        <w:t>“Nos esforzamos permanentemente para entregar a nuestros clientes las mejores soluciones para sus necesidades comerciales, y este último lanzamiento de Portfolio demuestra ese compromiso”, cuenta Daniel Lereya, director de Producto y Tecnología en monday.com. “Estamos democratizando los métodos de gestión de las carteras de proyectos y, para eso, simplificamos el control, que es un factor diferenciador importante respecto a otros en el mercado. Con nuestra solución de gestión de cartera, nuestros clientes c</w:t>
      </w:r>
      <w:r w:rsidRPr="6E59D01B" w:rsidR="001643C4">
        <w:rPr>
          <w:sz w:val="20"/>
          <w:szCs w:val="20"/>
          <w:lang w:val="es-ES"/>
        </w:rPr>
        <w:t xml:space="preserve">orporativos ahora tendrán una conexión robusta entre el trabajo diario y los datos generales, con la entrega de una vista de arriba hacia abajo que impulsa la eficiencia y la eficacia”.  </w:t>
      </w:r>
    </w:p>
    <w:p w:rsidR="004D24D5" w:rsidRDefault="004D24D5" w14:paraId="0000000C" w14:textId="77777777">
      <w:pPr>
        <w:ind w:left="720"/>
        <w:rPr>
          <w:sz w:val="20"/>
          <w:szCs w:val="20"/>
        </w:rPr>
      </w:pPr>
    </w:p>
    <w:p w:rsidR="004D24D5" w:rsidRDefault="001643C4" w14:paraId="0000000D" w14:textId="77777777">
      <w:pPr>
        <w:rPr>
          <w:sz w:val="20"/>
          <w:szCs w:val="20"/>
        </w:rPr>
      </w:pPr>
      <w:r>
        <w:rPr>
          <w:sz w:val="20"/>
          <w:szCs w:val="20"/>
        </w:rPr>
        <w:t>La solución de gestión de cartera de monday.com redefine los flujos de trabajo de los gestores con beneficios clave como los siguientes:</w:t>
      </w:r>
    </w:p>
    <w:p w:rsidR="004D24D5" w:rsidRDefault="001643C4" w14:paraId="0000000E" w14:textId="77777777">
      <w:pPr>
        <w:numPr>
          <w:ilvl w:val="0"/>
          <w:numId w:val="1"/>
        </w:numPr>
        <w:rPr>
          <w:sz w:val="20"/>
          <w:szCs w:val="20"/>
        </w:rPr>
      </w:pPr>
      <w:r>
        <w:rPr>
          <w:b/>
          <w:sz w:val="20"/>
          <w:szCs w:val="20"/>
        </w:rPr>
        <w:t>Conexión instantánea sin configuración:</w:t>
      </w:r>
      <w:r>
        <w:rPr>
          <w:sz w:val="20"/>
          <w:szCs w:val="20"/>
        </w:rPr>
        <w:t xml:space="preserve"> la solución está lista para usar y no requiere un proceso complicado de configuración. La función de conexión instantánea garantiza que los clientes puedan empezar a gestionar proyectos de inmediato, lo que mejora la productividad desde la misma implementación.</w:t>
      </w:r>
    </w:p>
    <w:p w:rsidR="004D24D5" w:rsidRDefault="001643C4" w14:paraId="0000000F" w14:textId="77777777">
      <w:pPr>
        <w:numPr>
          <w:ilvl w:val="0"/>
          <w:numId w:val="1"/>
        </w:numPr>
        <w:rPr>
          <w:sz w:val="20"/>
          <w:szCs w:val="20"/>
        </w:rPr>
      </w:pPr>
      <w:r>
        <w:rPr>
          <w:b/>
          <w:sz w:val="20"/>
          <w:szCs w:val="20"/>
        </w:rPr>
        <w:t>Flujos de trabajo centralizados:</w:t>
      </w:r>
      <w:r>
        <w:rPr>
          <w:sz w:val="20"/>
          <w:szCs w:val="20"/>
        </w:rPr>
        <w:t xml:space="preserve"> para integrar sus flujos de trabajo, los clientes pueden agregar automatizaciones, personalizar la entrada de proyectos y usar plantillas para estandarizar los proyectos.</w:t>
      </w:r>
    </w:p>
    <w:p w:rsidR="004D24D5" w:rsidP="6E59D01B" w:rsidRDefault="001643C4" w14:paraId="00000010" w14:textId="77777777">
      <w:pPr>
        <w:numPr>
          <w:ilvl w:val="0"/>
          <w:numId w:val="1"/>
        </w:numPr>
        <w:rPr>
          <w:sz w:val="20"/>
          <w:szCs w:val="20"/>
          <w:lang w:val="es-ES"/>
        </w:rPr>
      </w:pPr>
      <w:r w:rsidRPr="6E59D01B" w:rsidR="001643C4">
        <w:rPr>
          <w:b w:val="1"/>
          <w:bCs w:val="1"/>
          <w:sz w:val="20"/>
          <w:szCs w:val="20"/>
          <w:lang w:val="es-ES"/>
        </w:rPr>
        <w:t>Personalizable al máximo:</w:t>
      </w:r>
      <w:r w:rsidRPr="6E59D01B" w:rsidR="001643C4">
        <w:rPr>
          <w:sz w:val="20"/>
          <w:szCs w:val="20"/>
          <w:lang w:val="es-ES"/>
        </w:rPr>
        <w:t xml:space="preserve"> la solución está diseñada para ser flexible y personalizable, lo que permite que los gestores la ajusten según sus necesidades específicas. Con la capacidad de agregar campos, conectar paneles y más, ofrece una experiencia realmente personalizada.</w:t>
      </w:r>
    </w:p>
    <w:p w:rsidR="004D24D5" w:rsidRDefault="004D24D5" w14:paraId="00000011" w14:textId="77777777">
      <w:pPr>
        <w:rPr>
          <w:sz w:val="20"/>
          <w:szCs w:val="20"/>
        </w:rPr>
      </w:pPr>
    </w:p>
    <w:p w:rsidR="004D24D5" w:rsidRDefault="001643C4" w14:paraId="00000012" w14:textId="77777777">
      <w:pPr>
        <w:rPr>
          <w:sz w:val="20"/>
          <w:szCs w:val="20"/>
        </w:rPr>
      </w:pPr>
      <w:r>
        <w:rPr>
          <w:sz w:val="20"/>
          <w:szCs w:val="20"/>
        </w:rPr>
        <w:t xml:space="preserve">“La solución de gestión de cartera de monday.com nos permite entender el impacto de las decisiones que tomamos hoy para el día de mañana”, dice Chris Funk, director sénior de Innovación de Producto en </w:t>
      </w:r>
      <w:hyperlink r:id="rId11">
        <w:r>
          <w:rPr>
            <w:color w:val="1155CC"/>
            <w:sz w:val="20"/>
            <w:szCs w:val="20"/>
            <w:u w:val="single"/>
          </w:rPr>
          <w:t>Zippo Manufacturing</w:t>
        </w:r>
      </w:hyperlink>
      <w:r>
        <w:rPr>
          <w:sz w:val="20"/>
          <w:szCs w:val="20"/>
        </w:rPr>
        <w:t xml:space="preserve">. </w:t>
      </w:r>
    </w:p>
    <w:p w:rsidR="004D24D5" w:rsidRDefault="004D24D5" w14:paraId="00000013" w14:textId="77777777">
      <w:pPr>
        <w:rPr>
          <w:sz w:val="20"/>
          <w:szCs w:val="20"/>
        </w:rPr>
      </w:pPr>
    </w:p>
    <w:p w:rsidR="004D24D5" w:rsidP="6E59D01B" w:rsidRDefault="001643C4" w14:paraId="00000014" w14:textId="77777777">
      <w:pPr>
        <w:rPr>
          <w:sz w:val="20"/>
          <w:szCs w:val="20"/>
          <w:lang w:val="es-ES"/>
        </w:rPr>
      </w:pPr>
      <w:r w:rsidRPr="6E59D01B" w:rsidR="001643C4">
        <w:rPr>
          <w:sz w:val="20"/>
          <w:szCs w:val="20"/>
          <w:lang w:val="es-ES"/>
        </w:rPr>
        <w:t xml:space="preserve">El lanzamiento de la solución de gestión de cartera de monday.com es un paso importante en la visión multiproducto de la empresa. Permite que los clientes corporativos conecten sus flujos de trabajo diarios con estrategias más amplias y que escalen los proyectos para alcanzar los objetivos de la empresa. </w:t>
      </w:r>
    </w:p>
    <w:p w:rsidR="004D24D5" w:rsidRDefault="004D24D5" w14:paraId="00000015" w14:textId="77777777">
      <w:pPr>
        <w:rPr>
          <w:sz w:val="20"/>
          <w:szCs w:val="20"/>
        </w:rPr>
      </w:pPr>
    </w:p>
    <w:p w:rsidR="004D24D5" w:rsidRDefault="001643C4" w14:paraId="00000016" w14:textId="77777777">
      <w:pPr>
        <w:rPr>
          <w:sz w:val="20"/>
          <w:szCs w:val="20"/>
        </w:rPr>
      </w:pPr>
      <w:r>
        <w:rPr>
          <w:sz w:val="20"/>
          <w:szCs w:val="20"/>
        </w:rPr>
        <w:t xml:space="preserve">Más información sobre la nueva solución de gestión de cartera y sus capacidades </w:t>
      </w:r>
      <w:hyperlink r:id="rId12">
        <w:r>
          <w:rPr>
            <w:color w:val="1155CC"/>
            <w:sz w:val="20"/>
            <w:szCs w:val="20"/>
            <w:u w:val="single"/>
          </w:rPr>
          <w:t>aquí</w:t>
        </w:r>
      </w:hyperlink>
      <w:r>
        <w:rPr>
          <w:sz w:val="20"/>
          <w:szCs w:val="20"/>
        </w:rPr>
        <w:t xml:space="preserve">. </w:t>
      </w:r>
    </w:p>
    <w:p w:rsidR="004D24D5" w:rsidRDefault="004D24D5" w14:paraId="00000017" w14:textId="77777777">
      <w:pPr>
        <w:rPr>
          <w:sz w:val="20"/>
          <w:szCs w:val="20"/>
        </w:rPr>
      </w:pPr>
    </w:p>
    <w:p w:rsidR="004D24D5" w:rsidRDefault="001643C4" w14:paraId="00000018" w14:textId="77777777">
      <w:pPr>
        <w:jc w:val="both"/>
        <w:rPr>
          <w:sz w:val="20"/>
          <w:szCs w:val="20"/>
        </w:rPr>
      </w:pPr>
      <w:r>
        <w:rPr>
          <w:sz w:val="20"/>
          <w:szCs w:val="20"/>
        </w:rPr>
        <w:t>###</w:t>
      </w:r>
    </w:p>
    <w:p w:rsidR="004D24D5" w:rsidRDefault="004D24D5" w14:paraId="00000019" w14:textId="77777777">
      <w:pPr>
        <w:jc w:val="both"/>
        <w:rPr>
          <w:sz w:val="20"/>
          <w:szCs w:val="20"/>
        </w:rPr>
      </w:pPr>
    </w:p>
    <w:p w:rsidR="004D24D5" w:rsidRDefault="001643C4" w14:paraId="0000001A" w14:textId="77777777">
      <w:pPr>
        <w:rPr>
          <w:sz w:val="20"/>
          <w:szCs w:val="20"/>
        </w:rPr>
      </w:pPr>
      <w:r>
        <w:rPr>
          <w:b/>
          <w:sz w:val="20"/>
          <w:szCs w:val="20"/>
        </w:rPr>
        <w:t xml:space="preserve">Acerca de monday.com: </w:t>
      </w:r>
    </w:p>
    <w:p w:rsidR="004D24D5" w:rsidRDefault="001643C4" w14:paraId="0000001B" w14:textId="77777777">
      <w:pPr>
        <w:rPr>
          <w:sz w:val="20"/>
          <w:szCs w:val="20"/>
        </w:rPr>
      </w:pPr>
      <w:r>
        <w:rPr>
          <w:sz w:val="20"/>
          <w:szCs w:val="20"/>
        </w:rPr>
        <w:t xml:space="preserve">El sistema operativo de trabajo monday.com es una plataforma de código bajo/sin código que democratiza el poder del software para que las organizaciones puedan crear fácilmente herramientas para la gestión del trabajo y aplicaciones de software que se ajusten a sus necesidades. La plataforma conecta intuitivamente personas con procesos y sistemas, y les permite a los equipos destacarse en cada aspecto de su trabajo en un entorno de transparencia comercial. monday.com tiene oficinas en Tel Aviv, Nueva York, </w:t>
      </w:r>
      <w:r>
        <w:rPr>
          <w:sz w:val="20"/>
          <w:szCs w:val="20"/>
        </w:rPr>
        <w:t>Denver, Chicago, Londres, Varsovia, Sídney, Melbourne, San Pablo y Tokio. Se puede personalizar por completo para adaptarse a cualquier sector, y más de 225,000 clientes la usan hoy en día en 200 sectores y más de 200 países y territorios.</w:t>
      </w:r>
    </w:p>
    <w:p w:rsidR="004D24D5" w:rsidRDefault="004D24D5" w14:paraId="0000001C" w14:textId="77777777">
      <w:pPr>
        <w:rPr>
          <w:sz w:val="20"/>
          <w:szCs w:val="20"/>
        </w:rPr>
      </w:pPr>
    </w:p>
    <w:p w:rsidR="004D24D5" w:rsidRDefault="001643C4" w14:paraId="0000001D" w14:textId="77777777">
      <w:pPr>
        <w:rPr>
          <w:sz w:val="20"/>
          <w:szCs w:val="20"/>
        </w:rPr>
      </w:pPr>
      <w:r>
        <w:rPr>
          <w:sz w:val="20"/>
          <w:szCs w:val="20"/>
        </w:rPr>
        <w:t xml:space="preserve">Visítanos en </w:t>
      </w:r>
      <w:hyperlink r:id="rId13">
        <w:r>
          <w:rPr>
            <w:color w:val="1155CC"/>
            <w:sz w:val="20"/>
            <w:szCs w:val="20"/>
            <w:u w:val="single"/>
          </w:rPr>
          <w:t>LinkedIn</w:t>
        </w:r>
      </w:hyperlink>
      <w:r>
        <w:rPr>
          <w:sz w:val="20"/>
          <w:szCs w:val="20"/>
        </w:rPr>
        <w:t xml:space="preserve">, </w:t>
      </w:r>
      <w:hyperlink r:id="rId14">
        <w:r>
          <w:rPr>
            <w:color w:val="1155CC"/>
            <w:sz w:val="20"/>
            <w:szCs w:val="20"/>
            <w:u w:val="single"/>
          </w:rPr>
          <w:t>X (anteriormente Twitter)</w:t>
        </w:r>
      </w:hyperlink>
      <w:r>
        <w:rPr>
          <w:sz w:val="20"/>
          <w:szCs w:val="20"/>
        </w:rPr>
        <w:t xml:space="preserve">, </w:t>
      </w:r>
      <w:hyperlink r:id="rId15">
        <w:r>
          <w:rPr>
            <w:color w:val="1155CC"/>
            <w:sz w:val="20"/>
            <w:szCs w:val="20"/>
            <w:u w:val="single"/>
          </w:rPr>
          <w:t>Instagram</w:t>
        </w:r>
      </w:hyperlink>
      <w:r>
        <w:rPr>
          <w:sz w:val="20"/>
          <w:szCs w:val="20"/>
        </w:rPr>
        <w:t xml:space="preserve">, </w:t>
      </w:r>
      <w:hyperlink r:id="rId16">
        <w:r>
          <w:rPr>
            <w:color w:val="1155CC"/>
            <w:sz w:val="20"/>
            <w:szCs w:val="20"/>
            <w:u w:val="single"/>
          </w:rPr>
          <w:t>YouTube</w:t>
        </w:r>
      </w:hyperlink>
      <w:r>
        <w:rPr>
          <w:sz w:val="20"/>
          <w:szCs w:val="20"/>
        </w:rPr>
        <w:t xml:space="preserve">, </w:t>
      </w:r>
      <w:hyperlink r:id="rId17">
        <w:r>
          <w:rPr>
            <w:color w:val="1155CC"/>
            <w:sz w:val="20"/>
            <w:szCs w:val="20"/>
            <w:u w:val="single"/>
          </w:rPr>
          <w:t>TikTok</w:t>
        </w:r>
      </w:hyperlink>
      <w:r>
        <w:rPr>
          <w:sz w:val="20"/>
          <w:szCs w:val="20"/>
        </w:rPr>
        <w:t xml:space="preserve"> y </w:t>
      </w:r>
      <w:hyperlink r:id="rId18">
        <w:r>
          <w:rPr>
            <w:color w:val="1155CC"/>
            <w:sz w:val="20"/>
            <w:szCs w:val="20"/>
            <w:u w:val="single"/>
          </w:rPr>
          <w:t>Facebook</w:t>
        </w:r>
      </w:hyperlink>
      <w:r>
        <w:rPr>
          <w:sz w:val="20"/>
          <w:szCs w:val="20"/>
        </w:rPr>
        <w:t xml:space="preserve">. Si quieres obtener más información sobre monday.com, visita nuestra </w:t>
      </w:r>
      <w:hyperlink r:id="rId19">
        <w:r>
          <w:rPr>
            <w:color w:val="1155CC"/>
            <w:sz w:val="20"/>
            <w:szCs w:val="20"/>
            <w:u w:val="single"/>
          </w:rPr>
          <w:t>Sala de prensa</w:t>
        </w:r>
      </w:hyperlink>
      <w:r>
        <w:rPr>
          <w:sz w:val="20"/>
          <w:szCs w:val="20"/>
        </w:rPr>
        <w:t>.</w:t>
      </w:r>
    </w:p>
    <w:p w:rsidR="004D24D5" w:rsidRDefault="004D24D5" w14:paraId="0000001E" w14:textId="77777777">
      <w:pPr>
        <w:rPr>
          <w:sz w:val="20"/>
          <w:szCs w:val="20"/>
        </w:rPr>
      </w:pPr>
    </w:p>
    <w:p w:rsidR="004D24D5" w:rsidRDefault="001643C4" w14:paraId="0000001F" w14:textId="77777777">
      <w:pPr>
        <w:rPr>
          <w:b/>
          <w:sz w:val="20"/>
          <w:szCs w:val="20"/>
        </w:rPr>
      </w:pPr>
      <w:r>
        <w:rPr>
          <w:b/>
          <w:sz w:val="20"/>
          <w:szCs w:val="20"/>
        </w:rPr>
        <w:t>Contacto para relaciones con medios:</w:t>
      </w:r>
    </w:p>
    <w:p w:rsidR="004D24D5" w:rsidP="6E59D01B" w:rsidRDefault="001643C4" w14:paraId="00000020" w14:textId="77777777">
      <w:pPr>
        <w:rPr>
          <w:sz w:val="20"/>
          <w:szCs w:val="20"/>
          <w:lang w:val="es-ES"/>
        </w:rPr>
      </w:pPr>
      <w:r w:rsidRPr="6E59D01B" w:rsidR="001643C4">
        <w:rPr>
          <w:sz w:val="20"/>
          <w:szCs w:val="20"/>
          <w:lang w:val="es-ES"/>
        </w:rPr>
        <w:t>Tiffani Gibson, directora sénior de Comunicaciones</w:t>
      </w:r>
    </w:p>
    <w:p w:rsidR="004D24D5" w:rsidRDefault="001643C4" w14:paraId="00000021" w14:textId="77777777">
      <w:pPr>
        <w:rPr>
          <w:sz w:val="20"/>
          <w:szCs w:val="20"/>
        </w:rPr>
      </w:pPr>
      <w:hyperlink r:id="rId20">
        <w:r>
          <w:rPr>
            <w:color w:val="1155CC"/>
            <w:sz w:val="20"/>
            <w:szCs w:val="20"/>
            <w:u w:val="single"/>
          </w:rPr>
          <w:t>tiffanigi@monday.com</w:t>
        </w:r>
      </w:hyperlink>
      <w:r>
        <w:rPr>
          <w:sz w:val="20"/>
          <w:szCs w:val="20"/>
        </w:rPr>
        <w:t xml:space="preserve"> </w:t>
      </w:r>
    </w:p>
    <w:p w:rsidR="004D24D5" w:rsidRDefault="004D24D5" w14:paraId="00000022" w14:textId="77777777">
      <w:pPr>
        <w:rPr>
          <w:sz w:val="20"/>
          <w:szCs w:val="20"/>
        </w:rPr>
      </w:pPr>
    </w:p>
    <w:p w:rsidR="004D24D5" w:rsidRDefault="004D24D5" w14:paraId="00000023" w14:textId="77777777">
      <w:pPr>
        <w:rPr>
          <w:sz w:val="20"/>
          <w:szCs w:val="20"/>
        </w:rPr>
      </w:pPr>
    </w:p>
    <w:sectPr w:rsidR="004D24D5">
      <w:headerReference w:type="default" r:id="rId21"/>
      <w:pgSz w:w="12240" w:h="15840" w:orient="portrait"/>
      <w:pgMar w:top="1440" w:right="1440" w:bottom="1440" w:left="1440" w:header="720" w:footer="720" w:gutter="0"/>
      <w:pgNumType w:start="1"/>
      <w:cols w:space="720"/>
      <w:footerReference w:type="default" r:id="Rf03806ad0c5c450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43C4" w:rsidRDefault="001643C4" w14:paraId="2F488DF8" w14:textId="77777777">
      <w:pPr>
        <w:spacing w:line="240" w:lineRule="auto"/>
      </w:pPr>
      <w:r>
        <w:separator/>
      </w:r>
    </w:p>
  </w:endnote>
  <w:endnote w:type="continuationSeparator" w:id="0">
    <w:p w:rsidR="001643C4" w:rsidRDefault="001643C4" w14:paraId="18C7E91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20"/>
      <w:gridCol w:w="3120"/>
      <w:gridCol w:w="3120"/>
    </w:tblGrid>
    <w:tr w:rsidR="6E59D01B" w:rsidTr="6E59D01B" w14:paraId="3616BCE0">
      <w:trPr>
        <w:trHeight w:val="300"/>
      </w:trPr>
      <w:tc>
        <w:tcPr>
          <w:tcW w:w="3120" w:type="dxa"/>
          <w:tcMar/>
        </w:tcPr>
        <w:p w:rsidR="6E59D01B" w:rsidP="6E59D01B" w:rsidRDefault="6E59D01B" w14:paraId="57D220A6" w14:textId="482BC954">
          <w:pPr>
            <w:pStyle w:val="Header"/>
            <w:bidi w:val="0"/>
            <w:ind w:left="-115"/>
            <w:jc w:val="left"/>
          </w:pPr>
        </w:p>
      </w:tc>
      <w:tc>
        <w:tcPr>
          <w:tcW w:w="3120" w:type="dxa"/>
          <w:tcMar/>
        </w:tcPr>
        <w:p w:rsidR="6E59D01B" w:rsidP="6E59D01B" w:rsidRDefault="6E59D01B" w14:paraId="69CD424E" w14:textId="5B0FF868">
          <w:pPr>
            <w:pStyle w:val="Header"/>
            <w:bidi w:val="0"/>
            <w:jc w:val="center"/>
          </w:pPr>
        </w:p>
      </w:tc>
      <w:tc>
        <w:tcPr>
          <w:tcW w:w="3120" w:type="dxa"/>
          <w:tcMar/>
        </w:tcPr>
        <w:p w:rsidR="6E59D01B" w:rsidP="6E59D01B" w:rsidRDefault="6E59D01B" w14:paraId="1CFAB313" w14:textId="4FDF2F3A">
          <w:pPr>
            <w:pStyle w:val="Header"/>
            <w:bidi w:val="0"/>
            <w:ind w:right="-115"/>
            <w:jc w:val="right"/>
          </w:pPr>
        </w:p>
      </w:tc>
    </w:tr>
  </w:tbl>
  <w:p w:rsidR="6E59D01B" w:rsidP="6E59D01B" w:rsidRDefault="6E59D01B" w14:paraId="270DCA35" w14:textId="149171E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43C4" w:rsidRDefault="001643C4" w14:paraId="0C4DCED3" w14:textId="77777777">
      <w:pPr>
        <w:spacing w:line="240" w:lineRule="auto"/>
      </w:pPr>
      <w:r>
        <w:separator/>
      </w:r>
    </w:p>
  </w:footnote>
  <w:footnote w:type="continuationSeparator" w:id="0">
    <w:p w:rsidR="001643C4" w:rsidRDefault="001643C4" w14:paraId="7A81E6F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D24D5" w:rsidP="53437848" w:rsidRDefault="001643C4" w14:paraId="00000024" w14:textId="7A97BF34">
    <w:pPr>
      <w:pStyle w:val="Normal"/>
    </w:pPr>
    <w:r w:rsidR="0BFA0618">
      <w:drawing>
        <wp:inline wp14:editId="45227147" wp14:anchorId="00C7E168">
          <wp:extent cx="1200150" cy="390525"/>
          <wp:effectExtent l="0" t="0" r="0" b="0"/>
          <wp:docPr id="408007852" name="" title=""/>
          <wp:cNvGraphicFramePr>
            <a:graphicFrameLocks noChangeAspect="1"/>
          </wp:cNvGraphicFramePr>
          <a:graphic>
            <a:graphicData uri="http://schemas.openxmlformats.org/drawingml/2006/picture">
              <pic:pic>
                <pic:nvPicPr>
                  <pic:cNvPr id="0" name=""/>
                  <pic:cNvPicPr/>
                </pic:nvPicPr>
                <pic:blipFill>
                  <a:blip r:embed="Rf7f9dde8246e44f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00150" cy="390525"/>
                  </a:xfrm>
                  <a:prstGeom prst="rect">
                    <a:avLst/>
                  </a:prstGeom>
                </pic:spPr>
              </pic:pic>
            </a:graphicData>
          </a:graphic>
        </wp:inline>
      </w:drawing>
    </w:r>
    <w:r w:rsidR="0BFA0618">
      <w:drawing>
        <wp:anchor distT="0" distB="0" distL="114300" distR="114300" simplePos="0" relativeHeight="251658240" behindDoc="0" locked="0" layoutInCell="1" allowOverlap="1" wp14:editId="202BECF1" wp14:anchorId="138C82F3">
          <wp:simplePos x="0" y="0"/>
          <wp:positionH relativeFrom="column">
            <wp:align>right</wp:align>
          </wp:positionH>
          <wp:positionV relativeFrom="paragraph">
            <wp:posOffset>0</wp:posOffset>
          </wp:positionV>
          <wp:extent cx="1847850" cy="323850"/>
          <wp:effectExtent l="0" t="0" r="0" b="0"/>
          <wp:wrapSquare wrapText="bothSides"/>
          <wp:docPr id="1977917713" name="" title=""/>
          <wp:cNvGraphicFramePr>
            <a:graphicFrameLocks noChangeAspect="1"/>
          </wp:cNvGraphicFramePr>
          <a:graphic>
            <a:graphicData uri="http://schemas.openxmlformats.org/drawingml/2006/picture">
              <pic:pic>
                <pic:nvPicPr>
                  <pic:cNvPr id="0" name=""/>
                  <pic:cNvPicPr/>
                </pic:nvPicPr>
                <pic:blipFill>
                  <a:blip r:embed="R226607c512ca489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47850" cy="323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6533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77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4D5"/>
    <w:rsid w:val="001643C4"/>
    <w:rsid w:val="004D24D5"/>
    <w:rsid w:val="00750BD8"/>
    <w:rsid w:val="0BFA0618"/>
    <w:rsid w:val="53437848"/>
    <w:rsid w:val="6E59D01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93B7D00D-05CE-41BC-B316-B4619B2E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linkedin.com/company/mondaydotcom/mycompany/" TargetMode="External" Id="rId13" /><Relationship Type="http://schemas.openxmlformats.org/officeDocument/2006/relationships/hyperlink" Target="https://www.facebook.com/mondaydotcom"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support.monday.com/hc/en-us/articles/13337066797202-The-portfolio-solution" TargetMode="External" Id="rId12" /><Relationship Type="http://schemas.openxmlformats.org/officeDocument/2006/relationships/hyperlink" Target="https://www.tiktok.com/@mondayinsights" TargetMode="External" Id="rId17" /><Relationship Type="http://schemas.openxmlformats.org/officeDocument/2006/relationships/customXml" Target="../customXml/item2.xml" Id="rId2" /><Relationship Type="http://schemas.openxmlformats.org/officeDocument/2006/relationships/hyperlink" Target="https://www.youtube.com/channel/UCA9UvBiKHly15rN8u_Km3BQ" TargetMode="External" Id="rId16" /><Relationship Type="http://schemas.openxmlformats.org/officeDocument/2006/relationships/hyperlink" Target="mailto:tiffanigi@monday.com"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zippo.com/blogs/news" TargetMode="External" Id="rId11" /><Relationship Type="http://schemas.openxmlformats.org/officeDocument/2006/relationships/styles" Target="styles.xml" Id="rId5" /><Relationship Type="http://schemas.openxmlformats.org/officeDocument/2006/relationships/hyperlink" Target="https://www.instagram.com/mondaydotcom/" TargetMode="External" Id="rId15" /><Relationship Type="http://schemas.openxmlformats.org/officeDocument/2006/relationships/theme" Target="theme/theme1.xml" Id="rId23" /><Relationship Type="http://schemas.openxmlformats.org/officeDocument/2006/relationships/hyperlink" Target="https://monday.com/p/news/press-kit/"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x.com/mondaydotcom" TargetMode="External" Id="rId14" /><Relationship Type="http://schemas.openxmlformats.org/officeDocument/2006/relationships/fontTable" Target="fontTable.xml" Id="rId22" /><Relationship Type="http://schemas.openxmlformats.org/officeDocument/2006/relationships/hyperlink" Target="http://monday.com" TargetMode="External" Id="R2f4d75ff5a214d1a" /><Relationship Type="http://schemas.openxmlformats.org/officeDocument/2006/relationships/footer" Target="footer.xml" Id="Rf03806ad0c5c450b" /></Relationships>
</file>

<file path=word/_rels/header1.xml.rels>&#65279;<?xml version="1.0" encoding="utf-8"?><Relationships xmlns="http://schemas.openxmlformats.org/package/2006/relationships"><Relationship Type="http://schemas.openxmlformats.org/officeDocument/2006/relationships/image" Target="/media/image3.png" Id="Rf7f9dde8246e44f5" /><Relationship Type="http://schemas.openxmlformats.org/officeDocument/2006/relationships/image" Target="/media/image4.png" Id="R226607c512ca48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cd8276122badedd07ad6e52711374363">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2ea7292e3adaa35716f2339193933dcb"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6A035-4DF4-4C5C-A06D-F2E244A51FEA}">
  <ds:schemaRefs>
    <ds:schemaRef ds:uri="http://schemas.microsoft.com/office/2006/metadata/properties"/>
    <ds:schemaRef ds:uri="http://schemas.microsoft.com/office/infopath/2007/PartnerControls"/>
    <ds:schemaRef ds:uri="201fa1e3-e9f5-4728-ae09-720f67da3c62"/>
    <ds:schemaRef ds:uri="1d5836ea-921a-4a8b-955f-6a37deda5052"/>
  </ds:schemaRefs>
</ds:datastoreItem>
</file>

<file path=customXml/itemProps2.xml><?xml version="1.0" encoding="utf-8"?>
<ds:datastoreItem xmlns:ds="http://schemas.openxmlformats.org/officeDocument/2006/customXml" ds:itemID="{3D756695-D3D7-454C-866C-2569278593BB}">
  <ds:schemaRefs>
    <ds:schemaRef ds:uri="http://schemas.microsoft.com/sharepoint/v3/contenttype/forms"/>
  </ds:schemaRefs>
</ds:datastoreItem>
</file>

<file path=customXml/itemProps3.xml><?xml version="1.0" encoding="utf-8"?>
<ds:datastoreItem xmlns:ds="http://schemas.openxmlformats.org/officeDocument/2006/customXml" ds:itemID="{07437408-2724-405E-867C-F01D0F178D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michelle.delatorre</lastModifiedBy>
  <revision>4</revision>
  <dcterms:created xsi:type="dcterms:W3CDTF">2024-07-31T04:15:00.0000000Z</dcterms:created>
  <dcterms:modified xsi:type="dcterms:W3CDTF">2024-07-31T04:17:08.2347988Z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